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val="0"/>
        <w:snapToGrid w:val="0"/>
        <w:spacing w:line="592" w:lineRule="exact"/>
        <w:rPr>
          <w:rFonts w:hint="eastAsia" w:ascii="宋体" w:hAnsi="宋体" w:eastAsia="黑体" w:cs="宋体"/>
          <w:szCs w:val="32"/>
        </w:rPr>
      </w:pPr>
      <w:bookmarkStart w:id="0" w:name="_GoBack"/>
      <w:bookmarkEnd w:id="0"/>
      <w:r>
        <w:rPr>
          <w:rFonts w:hint="eastAsia" w:ascii="宋体" w:hAnsi="宋体" w:eastAsia="黑体" w:cs="宋体"/>
          <w:szCs w:val="32"/>
        </w:rPr>
        <w:t>附件1</w:t>
      </w:r>
      <w:r>
        <w:rPr>
          <w:rFonts w:ascii="宋体" w:hAnsi="宋体" w:eastAsia="黑体" w:cs="宋体"/>
          <w:szCs w:val="32"/>
        </w:rPr>
        <w:t>2</w:t>
      </w:r>
    </w:p>
    <w:p>
      <w:pPr>
        <w:shd w:val="clear" w:color="auto" w:fill="FFFFFF"/>
        <w:adjustRightInd w:val="0"/>
        <w:snapToGrid w:val="0"/>
        <w:spacing w:line="592" w:lineRule="exact"/>
        <w:rPr>
          <w:rFonts w:hint="eastAsia" w:ascii="宋体" w:hAnsi="宋体" w:eastAsia="黑体" w:cs="宋体"/>
          <w:szCs w:val="32"/>
        </w:rPr>
      </w:pPr>
    </w:p>
    <w:p>
      <w:pPr>
        <w:shd w:val="clear" w:color="auto" w:fill="FFFFFF"/>
        <w:adjustRightInd w:val="0"/>
        <w:snapToGrid w:val="0"/>
        <w:spacing w:line="592" w:lineRule="exact"/>
        <w:jc w:val="center"/>
        <w:rPr>
          <w:rFonts w:ascii="宋体" w:hAnsi="宋体" w:eastAsia="方正小标宋简体"/>
          <w:sz w:val="44"/>
          <w:szCs w:val="44"/>
        </w:rPr>
      </w:pPr>
      <w:r>
        <w:rPr>
          <w:rFonts w:hint="eastAsia" w:ascii="宋体" w:hAnsi="宋体" w:eastAsia="方正小标宋简体"/>
          <w:sz w:val="44"/>
          <w:szCs w:val="44"/>
        </w:rPr>
        <w:t>肉菜流通追溯体系运行项目及</w:t>
      </w:r>
    </w:p>
    <w:p>
      <w:pPr>
        <w:shd w:val="clear" w:color="auto" w:fill="FFFFFF"/>
        <w:adjustRightInd w:val="0"/>
        <w:snapToGrid w:val="0"/>
        <w:spacing w:line="592" w:lineRule="exact"/>
        <w:jc w:val="center"/>
        <w:rPr>
          <w:rFonts w:ascii="宋体" w:hAnsi="宋体" w:eastAsia="方正小标宋简体"/>
          <w:spacing w:val="6"/>
          <w:sz w:val="44"/>
          <w:szCs w:val="44"/>
        </w:rPr>
      </w:pPr>
      <w:r>
        <w:rPr>
          <w:rFonts w:hint="eastAsia" w:ascii="宋体" w:hAnsi="宋体" w:eastAsia="方正小标宋简体"/>
          <w:spacing w:val="6"/>
          <w:sz w:val="44"/>
          <w:szCs w:val="44"/>
        </w:rPr>
        <w:t>专业维护管理服务项目申报材料</w:t>
      </w:r>
    </w:p>
    <w:p>
      <w:pPr>
        <w:shd w:val="clear" w:color="auto" w:fill="FFFFFF"/>
        <w:adjustRightInd w:val="0"/>
        <w:snapToGrid w:val="0"/>
        <w:spacing w:line="592" w:lineRule="exact"/>
        <w:jc w:val="center"/>
        <w:rPr>
          <w:rFonts w:ascii="宋体" w:hAnsi="宋体" w:eastAsia="方正小标宋简体"/>
          <w:sz w:val="44"/>
          <w:szCs w:val="44"/>
        </w:rPr>
      </w:pPr>
    </w:p>
    <w:p>
      <w:pPr>
        <w:adjustRightInd w:val="0"/>
        <w:snapToGrid w:val="0"/>
        <w:spacing w:line="592" w:lineRule="exact"/>
        <w:ind w:firstLine="640" w:firstLineChars="200"/>
        <w:rPr>
          <w:rFonts w:ascii="宋体" w:hAnsi="宋体" w:eastAsia="黑体" w:cs="仿宋"/>
          <w:szCs w:val="32"/>
        </w:rPr>
      </w:pPr>
      <w:r>
        <w:rPr>
          <w:rFonts w:hint="eastAsia" w:ascii="宋体" w:hAnsi="宋体" w:eastAsia="黑体" w:cs="仿宋"/>
          <w:szCs w:val="32"/>
        </w:rPr>
        <w:t>一、申报材料</w:t>
      </w:r>
    </w:p>
    <w:p>
      <w:pPr>
        <w:spacing w:line="592" w:lineRule="exact"/>
        <w:ind w:firstLine="640" w:firstLineChars="200"/>
        <w:rPr>
          <w:rFonts w:hint="eastAsia" w:ascii="宋体" w:hAnsi="宋体"/>
          <w:szCs w:val="32"/>
        </w:rPr>
      </w:pPr>
      <w:r>
        <w:rPr>
          <w:rFonts w:hint="eastAsia" w:ascii="宋体" w:hAnsi="宋体"/>
          <w:szCs w:val="32"/>
        </w:rPr>
        <w:t>1．由各区县商务主管部门统一填写《济南市商贸流通业发展引导资金项目申请表》（见附件2）；</w:t>
      </w:r>
    </w:p>
    <w:p>
      <w:pPr>
        <w:spacing w:line="592" w:lineRule="exact"/>
        <w:ind w:firstLine="640" w:firstLineChars="200"/>
        <w:rPr>
          <w:rFonts w:hint="eastAsia" w:ascii="宋体" w:hAnsi="宋体"/>
          <w:szCs w:val="32"/>
        </w:rPr>
      </w:pPr>
      <w:r>
        <w:rPr>
          <w:rFonts w:hint="eastAsia" w:ascii="宋体" w:hAnsi="宋体"/>
          <w:szCs w:val="32"/>
        </w:rPr>
        <w:t>2．由市商务局归口业务处室提供各区县补贴标准明细表，由肉菜流通追溯系统第三方专业运维管理服务商提供各区县申报期内各追溯节点上传入场、出场数据信息量、上传天数、报送信息合格率（经第三方专业运维管理服务商盖章确认）。</w:t>
      </w:r>
    </w:p>
    <w:p>
      <w:pPr>
        <w:adjustRightInd w:val="0"/>
        <w:snapToGrid w:val="0"/>
        <w:spacing w:line="592" w:lineRule="exact"/>
        <w:ind w:firstLine="640" w:firstLineChars="200"/>
        <w:rPr>
          <w:rFonts w:ascii="宋体" w:hAnsi="宋体" w:eastAsia="黑体" w:cs="仿宋"/>
          <w:szCs w:val="32"/>
        </w:rPr>
      </w:pPr>
      <w:r>
        <w:rPr>
          <w:rFonts w:hint="eastAsia" w:ascii="宋体" w:hAnsi="宋体" w:eastAsia="黑体" w:cs="仿宋"/>
          <w:szCs w:val="32"/>
        </w:rPr>
        <w:t>二、肉菜追溯达标节点单位信息报送补贴标准表</w:t>
      </w:r>
    </w:p>
    <w:tbl>
      <w:tblPr>
        <w:tblStyle w:val="2"/>
        <w:tblW w:w="871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42"/>
        <w:gridCol w:w="3366"/>
        <w:gridCol w:w="1406"/>
        <w:gridCol w:w="1408"/>
        <w:gridCol w:w="10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442" w:type="dxa"/>
            <w:vAlign w:val="center"/>
          </w:tcPr>
          <w:p>
            <w:pPr>
              <w:adjustRightInd w:val="0"/>
              <w:snapToGrid w:val="0"/>
              <w:jc w:val="center"/>
              <w:rPr>
                <w:rFonts w:ascii="宋体" w:hAnsi="宋体" w:eastAsia="黑体"/>
                <w:spacing w:val="-4"/>
                <w:kern w:val="0"/>
                <w:sz w:val="24"/>
              </w:rPr>
            </w:pPr>
            <w:r>
              <w:rPr>
                <w:rFonts w:hint="eastAsia" w:ascii="宋体" w:hAnsi="宋体" w:eastAsia="黑体"/>
                <w:spacing w:val="-4"/>
                <w:kern w:val="0"/>
                <w:sz w:val="24"/>
              </w:rPr>
              <w:t>批发、零售</w:t>
            </w:r>
          </w:p>
        </w:tc>
        <w:tc>
          <w:tcPr>
            <w:tcW w:w="3366" w:type="dxa"/>
            <w:vAlign w:val="center"/>
          </w:tcPr>
          <w:p>
            <w:pPr>
              <w:adjustRightInd w:val="0"/>
              <w:snapToGrid w:val="0"/>
              <w:jc w:val="center"/>
              <w:rPr>
                <w:rFonts w:ascii="宋体" w:hAnsi="宋体" w:eastAsia="黑体"/>
                <w:spacing w:val="-4"/>
                <w:kern w:val="0"/>
                <w:sz w:val="24"/>
              </w:rPr>
            </w:pPr>
            <w:r>
              <w:rPr>
                <w:rFonts w:hint="eastAsia" w:ascii="宋体" w:hAnsi="宋体" w:eastAsia="黑体"/>
                <w:spacing w:val="-4"/>
                <w:kern w:val="0"/>
                <w:sz w:val="24"/>
              </w:rPr>
              <w:t>追溯节点类别</w:t>
            </w:r>
          </w:p>
        </w:tc>
        <w:tc>
          <w:tcPr>
            <w:tcW w:w="1406" w:type="dxa"/>
            <w:vAlign w:val="center"/>
          </w:tcPr>
          <w:p>
            <w:pPr>
              <w:adjustRightInd w:val="0"/>
              <w:snapToGrid w:val="0"/>
              <w:jc w:val="center"/>
              <w:rPr>
                <w:rFonts w:ascii="宋体" w:hAnsi="宋体" w:eastAsia="黑体"/>
                <w:spacing w:val="-4"/>
                <w:kern w:val="0"/>
                <w:sz w:val="24"/>
              </w:rPr>
            </w:pPr>
            <w:r>
              <w:rPr>
                <w:rFonts w:hint="eastAsia" w:ascii="宋体" w:hAnsi="宋体" w:eastAsia="黑体"/>
                <w:spacing w:val="-4"/>
                <w:kern w:val="0"/>
                <w:sz w:val="24"/>
              </w:rPr>
              <w:t>入场信息</w:t>
            </w:r>
          </w:p>
          <w:p>
            <w:pPr>
              <w:adjustRightInd w:val="0"/>
              <w:snapToGrid w:val="0"/>
              <w:jc w:val="center"/>
              <w:rPr>
                <w:rFonts w:ascii="宋体" w:hAnsi="宋体" w:eastAsia="黑体"/>
                <w:spacing w:val="-4"/>
                <w:kern w:val="0"/>
                <w:sz w:val="24"/>
              </w:rPr>
            </w:pPr>
            <w:r>
              <w:rPr>
                <w:rFonts w:hint="eastAsia" w:ascii="宋体" w:hAnsi="宋体" w:eastAsia="黑体"/>
                <w:spacing w:val="-4"/>
                <w:kern w:val="0"/>
                <w:sz w:val="24"/>
              </w:rPr>
              <w:t>（元/条）</w:t>
            </w:r>
          </w:p>
        </w:tc>
        <w:tc>
          <w:tcPr>
            <w:tcW w:w="1408" w:type="dxa"/>
            <w:vAlign w:val="center"/>
          </w:tcPr>
          <w:p>
            <w:pPr>
              <w:adjustRightInd w:val="0"/>
              <w:snapToGrid w:val="0"/>
              <w:jc w:val="center"/>
              <w:rPr>
                <w:rFonts w:ascii="宋体" w:hAnsi="宋体" w:eastAsia="黑体"/>
                <w:spacing w:val="-4"/>
                <w:kern w:val="0"/>
                <w:sz w:val="24"/>
              </w:rPr>
            </w:pPr>
            <w:r>
              <w:rPr>
                <w:rFonts w:hint="eastAsia" w:ascii="宋体" w:hAnsi="宋体" w:eastAsia="黑体"/>
                <w:spacing w:val="-4"/>
                <w:kern w:val="0"/>
                <w:sz w:val="24"/>
              </w:rPr>
              <w:t>出场信息</w:t>
            </w:r>
          </w:p>
          <w:p>
            <w:pPr>
              <w:adjustRightInd w:val="0"/>
              <w:snapToGrid w:val="0"/>
              <w:jc w:val="center"/>
              <w:rPr>
                <w:rFonts w:ascii="宋体" w:hAnsi="宋体" w:eastAsia="黑体"/>
                <w:spacing w:val="-4"/>
                <w:kern w:val="0"/>
                <w:sz w:val="24"/>
              </w:rPr>
            </w:pPr>
            <w:r>
              <w:rPr>
                <w:rFonts w:hint="eastAsia" w:ascii="宋体" w:hAnsi="宋体" w:eastAsia="黑体"/>
                <w:spacing w:val="-4"/>
                <w:kern w:val="0"/>
                <w:sz w:val="24"/>
              </w:rPr>
              <w:t>（元/条）</w:t>
            </w:r>
          </w:p>
        </w:tc>
        <w:tc>
          <w:tcPr>
            <w:tcW w:w="1088" w:type="dxa"/>
            <w:vAlign w:val="center"/>
          </w:tcPr>
          <w:p>
            <w:pPr>
              <w:adjustRightInd w:val="0"/>
              <w:snapToGrid w:val="0"/>
              <w:jc w:val="center"/>
              <w:rPr>
                <w:rFonts w:ascii="宋体" w:hAnsi="宋体" w:eastAsia="黑体"/>
                <w:spacing w:val="-4"/>
                <w:kern w:val="0"/>
                <w:sz w:val="24"/>
              </w:rPr>
            </w:pPr>
            <w:r>
              <w:rPr>
                <w:rFonts w:hint="eastAsia" w:ascii="宋体" w:hAnsi="宋体" w:eastAsia="黑体"/>
                <w:spacing w:val="-4"/>
                <w:kern w:val="0"/>
                <w:sz w:val="24"/>
              </w:rPr>
              <w:t>备  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5" w:hRule="atLeast"/>
          <w:jc w:val="center"/>
        </w:trPr>
        <w:tc>
          <w:tcPr>
            <w:tcW w:w="1442" w:type="dxa"/>
            <w:vAlign w:val="center"/>
          </w:tcPr>
          <w:p>
            <w:pPr>
              <w:adjustRightInd w:val="0"/>
              <w:snapToGrid w:val="0"/>
              <w:jc w:val="center"/>
              <w:rPr>
                <w:rFonts w:ascii="宋体" w:hAnsi="宋体"/>
                <w:spacing w:val="-4"/>
                <w:kern w:val="0"/>
                <w:sz w:val="24"/>
              </w:rPr>
            </w:pPr>
            <w:r>
              <w:rPr>
                <w:rFonts w:hint="eastAsia" w:ascii="宋体" w:hAnsi="宋体"/>
                <w:spacing w:val="-4"/>
                <w:kern w:val="0"/>
                <w:sz w:val="24"/>
              </w:rPr>
              <w:t>一级批发</w:t>
            </w:r>
          </w:p>
        </w:tc>
        <w:tc>
          <w:tcPr>
            <w:tcW w:w="3366" w:type="dxa"/>
            <w:vAlign w:val="center"/>
          </w:tcPr>
          <w:p>
            <w:pPr>
              <w:adjustRightInd w:val="0"/>
              <w:snapToGrid w:val="0"/>
              <w:spacing w:line="240" w:lineRule="atLeast"/>
              <w:jc w:val="center"/>
              <w:rPr>
                <w:rFonts w:ascii="宋体" w:hAnsi="宋体"/>
                <w:spacing w:val="-4"/>
                <w:kern w:val="0"/>
                <w:sz w:val="24"/>
              </w:rPr>
            </w:pPr>
            <w:r>
              <w:rPr>
                <w:rFonts w:hint="eastAsia" w:ascii="宋体" w:hAnsi="宋体"/>
                <w:spacing w:val="-4"/>
                <w:kern w:val="0"/>
                <w:sz w:val="24"/>
              </w:rPr>
              <w:t>定点屠宰厂</w:t>
            </w:r>
          </w:p>
        </w:tc>
        <w:tc>
          <w:tcPr>
            <w:tcW w:w="1406" w:type="dxa"/>
            <w:vAlign w:val="center"/>
          </w:tcPr>
          <w:p>
            <w:pPr>
              <w:adjustRightInd w:val="0"/>
              <w:snapToGrid w:val="0"/>
              <w:jc w:val="center"/>
              <w:rPr>
                <w:rFonts w:ascii="宋体" w:hAnsi="宋体"/>
                <w:spacing w:val="-4"/>
                <w:kern w:val="0"/>
                <w:sz w:val="24"/>
              </w:rPr>
            </w:pPr>
            <w:r>
              <w:rPr>
                <w:rFonts w:hint="eastAsia" w:ascii="宋体" w:hAnsi="宋体"/>
                <w:spacing w:val="-4"/>
                <w:kern w:val="0"/>
                <w:sz w:val="24"/>
              </w:rPr>
              <w:t>≤5</w:t>
            </w:r>
          </w:p>
        </w:tc>
        <w:tc>
          <w:tcPr>
            <w:tcW w:w="1408" w:type="dxa"/>
            <w:vAlign w:val="center"/>
          </w:tcPr>
          <w:p>
            <w:pPr>
              <w:adjustRightInd w:val="0"/>
              <w:snapToGrid w:val="0"/>
              <w:jc w:val="center"/>
              <w:rPr>
                <w:rFonts w:ascii="宋体" w:hAnsi="宋体"/>
                <w:spacing w:val="-4"/>
                <w:kern w:val="0"/>
                <w:sz w:val="24"/>
              </w:rPr>
            </w:pPr>
            <w:r>
              <w:rPr>
                <w:rFonts w:hint="eastAsia" w:ascii="宋体" w:hAnsi="宋体"/>
                <w:spacing w:val="-4"/>
                <w:kern w:val="0"/>
                <w:sz w:val="24"/>
              </w:rPr>
              <w:t>≤5</w:t>
            </w:r>
          </w:p>
        </w:tc>
        <w:tc>
          <w:tcPr>
            <w:tcW w:w="1088" w:type="dxa"/>
            <w:vAlign w:val="center"/>
          </w:tcPr>
          <w:p>
            <w:pPr>
              <w:adjustRightInd w:val="0"/>
              <w:snapToGrid w:val="0"/>
              <w:jc w:val="center"/>
              <w:rPr>
                <w:rFonts w:ascii="宋体" w:hAnsi="宋体"/>
                <w:spacing w:val="-4"/>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5" w:hRule="atLeast"/>
          <w:jc w:val="center"/>
        </w:trPr>
        <w:tc>
          <w:tcPr>
            <w:tcW w:w="1442" w:type="dxa"/>
            <w:vAlign w:val="center"/>
          </w:tcPr>
          <w:p>
            <w:pPr>
              <w:adjustRightInd w:val="0"/>
              <w:snapToGrid w:val="0"/>
              <w:jc w:val="center"/>
              <w:rPr>
                <w:rFonts w:ascii="宋体" w:hAnsi="宋体"/>
                <w:spacing w:val="-4"/>
                <w:kern w:val="0"/>
                <w:sz w:val="24"/>
              </w:rPr>
            </w:pPr>
            <w:r>
              <w:rPr>
                <w:rFonts w:hint="eastAsia" w:ascii="宋体" w:hAnsi="宋体"/>
                <w:spacing w:val="-4"/>
                <w:kern w:val="0"/>
                <w:sz w:val="24"/>
              </w:rPr>
              <w:t>二级批发</w:t>
            </w:r>
          </w:p>
        </w:tc>
        <w:tc>
          <w:tcPr>
            <w:tcW w:w="3366" w:type="dxa"/>
            <w:vAlign w:val="center"/>
          </w:tcPr>
          <w:p>
            <w:pPr>
              <w:adjustRightInd w:val="0"/>
              <w:snapToGrid w:val="0"/>
              <w:spacing w:line="240" w:lineRule="atLeast"/>
              <w:jc w:val="center"/>
              <w:rPr>
                <w:rFonts w:ascii="宋体" w:hAnsi="宋体"/>
                <w:spacing w:val="-4"/>
                <w:kern w:val="0"/>
                <w:sz w:val="24"/>
              </w:rPr>
            </w:pPr>
            <w:r>
              <w:rPr>
                <w:rFonts w:hint="eastAsia" w:ascii="宋体" w:hAnsi="宋体"/>
                <w:spacing w:val="-4"/>
                <w:kern w:val="0"/>
                <w:sz w:val="24"/>
              </w:rPr>
              <w:t>批发市场</w:t>
            </w:r>
          </w:p>
        </w:tc>
        <w:tc>
          <w:tcPr>
            <w:tcW w:w="1406" w:type="dxa"/>
            <w:vAlign w:val="center"/>
          </w:tcPr>
          <w:p>
            <w:pPr>
              <w:adjustRightInd w:val="0"/>
              <w:snapToGrid w:val="0"/>
              <w:jc w:val="center"/>
              <w:rPr>
                <w:rFonts w:ascii="宋体" w:hAnsi="宋体"/>
                <w:spacing w:val="-4"/>
                <w:kern w:val="0"/>
                <w:sz w:val="24"/>
              </w:rPr>
            </w:pPr>
            <w:r>
              <w:rPr>
                <w:rFonts w:hint="eastAsia" w:ascii="宋体" w:hAnsi="宋体"/>
                <w:spacing w:val="-4"/>
                <w:kern w:val="0"/>
                <w:sz w:val="24"/>
              </w:rPr>
              <w:t>≤0.8</w:t>
            </w:r>
          </w:p>
        </w:tc>
        <w:tc>
          <w:tcPr>
            <w:tcW w:w="1408" w:type="dxa"/>
            <w:vAlign w:val="center"/>
          </w:tcPr>
          <w:p>
            <w:pPr>
              <w:adjustRightInd w:val="0"/>
              <w:snapToGrid w:val="0"/>
              <w:jc w:val="center"/>
              <w:rPr>
                <w:rFonts w:ascii="宋体" w:hAnsi="宋体"/>
                <w:spacing w:val="-4"/>
                <w:kern w:val="0"/>
                <w:sz w:val="24"/>
              </w:rPr>
            </w:pPr>
            <w:r>
              <w:rPr>
                <w:rFonts w:hint="eastAsia" w:ascii="宋体" w:hAnsi="宋体"/>
                <w:spacing w:val="-4"/>
                <w:kern w:val="0"/>
                <w:sz w:val="24"/>
              </w:rPr>
              <w:t>≤0.3</w:t>
            </w:r>
          </w:p>
        </w:tc>
        <w:tc>
          <w:tcPr>
            <w:tcW w:w="1088" w:type="dxa"/>
            <w:vAlign w:val="center"/>
          </w:tcPr>
          <w:p>
            <w:pPr>
              <w:adjustRightInd w:val="0"/>
              <w:snapToGrid w:val="0"/>
              <w:jc w:val="center"/>
              <w:rPr>
                <w:rFonts w:ascii="宋体" w:hAnsi="宋体"/>
                <w:spacing w:val="-4"/>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5" w:hRule="atLeast"/>
          <w:jc w:val="center"/>
        </w:trPr>
        <w:tc>
          <w:tcPr>
            <w:tcW w:w="1442" w:type="dxa"/>
            <w:vAlign w:val="center"/>
          </w:tcPr>
          <w:p>
            <w:pPr>
              <w:adjustRightInd w:val="0"/>
              <w:snapToGrid w:val="0"/>
              <w:jc w:val="center"/>
              <w:rPr>
                <w:rFonts w:ascii="宋体" w:hAnsi="宋体"/>
                <w:spacing w:val="-4"/>
                <w:kern w:val="0"/>
                <w:sz w:val="24"/>
              </w:rPr>
            </w:pPr>
            <w:r>
              <w:rPr>
                <w:rFonts w:hint="eastAsia" w:ascii="宋体" w:hAnsi="宋体"/>
                <w:spacing w:val="-4"/>
                <w:kern w:val="0"/>
                <w:sz w:val="24"/>
              </w:rPr>
              <w:t>三级批发</w:t>
            </w:r>
          </w:p>
        </w:tc>
        <w:tc>
          <w:tcPr>
            <w:tcW w:w="3366" w:type="dxa"/>
            <w:vAlign w:val="center"/>
          </w:tcPr>
          <w:p>
            <w:pPr>
              <w:adjustRightInd w:val="0"/>
              <w:snapToGrid w:val="0"/>
              <w:spacing w:line="240" w:lineRule="atLeast"/>
              <w:jc w:val="center"/>
              <w:rPr>
                <w:rFonts w:ascii="宋体" w:hAnsi="宋体"/>
                <w:spacing w:val="-4"/>
                <w:kern w:val="0"/>
                <w:sz w:val="24"/>
              </w:rPr>
            </w:pPr>
            <w:r>
              <w:rPr>
                <w:rFonts w:hint="eastAsia" w:ascii="宋体" w:hAnsi="宋体"/>
                <w:spacing w:val="-4"/>
                <w:kern w:val="0"/>
                <w:sz w:val="24"/>
              </w:rPr>
              <w:t>团体采购</w:t>
            </w:r>
          </w:p>
        </w:tc>
        <w:tc>
          <w:tcPr>
            <w:tcW w:w="1406" w:type="dxa"/>
            <w:vAlign w:val="center"/>
          </w:tcPr>
          <w:p>
            <w:pPr>
              <w:adjustRightInd w:val="0"/>
              <w:snapToGrid w:val="0"/>
              <w:jc w:val="center"/>
              <w:rPr>
                <w:rFonts w:ascii="宋体" w:hAnsi="宋体"/>
                <w:spacing w:val="-4"/>
                <w:kern w:val="0"/>
                <w:sz w:val="24"/>
              </w:rPr>
            </w:pPr>
            <w:r>
              <w:rPr>
                <w:rFonts w:hint="eastAsia" w:ascii="宋体" w:hAnsi="宋体"/>
                <w:spacing w:val="-4"/>
                <w:kern w:val="0"/>
                <w:sz w:val="24"/>
              </w:rPr>
              <w:t>≤0.25</w:t>
            </w:r>
          </w:p>
        </w:tc>
        <w:tc>
          <w:tcPr>
            <w:tcW w:w="1408" w:type="dxa"/>
            <w:vAlign w:val="center"/>
          </w:tcPr>
          <w:p>
            <w:pPr>
              <w:adjustRightInd w:val="0"/>
              <w:snapToGrid w:val="0"/>
              <w:jc w:val="center"/>
              <w:rPr>
                <w:rFonts w:ascii="宋体" w:hAnsi="宋体"/>
                <w:spacing w:val="-4"/>
                <w:kern w:val="0"/>
                <w:sz w:val="24"/>
              </w:rPr>
            </w:pPr>
            <w:r>
              <w:rPr>
                <w:rFonts w:hint="eastAsia" w:ascii="宋体" w:hAnsi="宋体"/>
                <w:spacing w:val="-4"/>
                <w:kern w:val="0"/>
                <w:sz w:val="24"/>
              </w:rPr>
              <w:t>≤0.15</w:t>
            </w:r>
          </w:p>
        </w:tc>
        <w:tc>
          <w:tcPr>
            <w:tcW w:w="1088" w:type="dxa"/>
            <w:vAlign w:val="center"/>
          </w:tcPr>
          <w:p>
            <w:pPr>
              <w:adjustRightInd w:val="0"/>
              <w:snapToGrid w:val="0"/>
              <w:jc w:val="center"/>
              <w:rPr>
                <w:rFonts w:ascii="宋体" w:hAnsi="宋体"/>
                <w:spacing w:val="-4"/>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5" w:hRule="atLeast"/>
          <w:jc w:val="center"/>
        </w:trPr>
        <w:tc>
          <w:tcPr>
            <w:tcW w:w="1442" w:type="dxa"/>
            <w:vAlign w:val="center"/>
          </w:tcPr>
          <w:p>
            <w:pPr>
              <w:adjustRightInd w:val="0"/>
              <w:snapToGrid w:val="0"/>
              <w:jc w:val="center"/>
              <w:rPr>
                <w:rFonts w:ascii="宋体" w:hAnsi="宋体"/>
                <w:spacing w:val="-4"/>
                <w:kern w:val="0"/>
                <w:sz w:val="24"/>
              </w:rPr>
            </w:pPr>
            <w:r>
              <w:rPr>
                <w:rFonts w:hint="eastAsia" w:ascii="宋体" w:hAnsi="宋体"/>
                <w:spacing w:val="-4"/>
                <w:kern w:val="0"/>
                <w:sz w:val="24"/>
              </w:rPr>
              <w:t>零  售</w:t>
            </w:r>
          </w:p>
        </w:tc>
        <w:tc>
          <w:tcPr>
            <w:tcW w:w="3366" w:type="dxa"/>
            <w:vAlign w:val="center"/>
          </w:tcPr>
          <w:p>
            <w:pPr>
              <w:adjustRightInd w:val="0"/>
              <w:snapToGrid w:val="0"/>
              <w:spacing w:line="240" w:lineRule="atLeast"/>
              <w:jc w:val="center"/>
              <w:rPr>
                <w:rFonts w:ascii="宋体" w:hAnsi="宋体"/>
                <w:spacing w:val="-4"/>
                <w:kern w:val="0"/>
                <w:sz w:val="24"/>
              </w:rPr>
            </w:pPr>
            <w:r>
              <w:rPr>
                <w:rFonts w:hint="eastAsia" w:ascii="宋体" w:hAnsi="宋体"/>
                <w:spacing w:val="-4"/>
                <w:kern w:val="0"/>
                <w:sz w:val="24"/>
              </w:rPr>
              <w:t>超市、菜市场、社区肉菜店等</w:t>
            </w:r>
          </w:p>
        </w:tc>
        <w:tc>
          <w:tcPr>
            <w:tcW w:w="1406" w:type="dxa"/>
            <w:vAlign w:val="center"/>
          </w:tcPr>
          <w:p>
            <w:pPr>
              <w:adjustRightInd w:val="0"/>
              <w:snapToGrid w:val="0"/>
              <w:jc w:val="center"/>
              <w:rPr>
                <w:rFonts w:ascii="宋体" w:hAnsi="宋体"/>
                <w:spacing w:val="-4"/>
                <w:kern w:val="0"/>
                <w:sz w:val="24"/>
              </w:rPr>
            </w:pPr>
            <w:r>
              <w:rPr>
                <w:rFonts w:hint="eastAsia" w:ascii="宋体" w:hAnsi="宋体"/>
                <w:spacing w:val="-4"/>
                <w:kern w:val="0"/>
                <w:sz w:val="24"/>
              </w:rPr>
              <w:t>≤0.12</w:t>
            </w:r>
          </w:p>
        </w:tc>
        <w:tc>
          <w:tcPr>
            <w:tcW w:w="1408" w:type="dxa"/>
            <w:vAlign w:val="center"/>
          </w:tcPr>
          <w:p>
            <w:pPr>
              <w:adjustRightInd w:val="0"/>
              <w:snapToGrid w:val="0"/>
              <w:jc w:val="center"/>
              <w:rPr>
                <w:rFonts w:ascii="宋体" w:hAnsi="宋体"/>
                <w:spacing w:val="-4"/>
                <w:kern w:val="0"/>
                <w:sz w:val="24"/>
              </w:rPr>
            </w:pPr>
            <w:r>
              <w:rPr>
                <w:rFonts w:hint="eastAsia" w:ascii="宋体" w:hAnsi="宋体"/>
                <w:spacing w:val="-4"/>
                <w:kern w:val="0"/>
                <w:sz w:val="24"/>
              </w:rPr>
              <w:t>≤0.06</w:t>
            </w:r>
          </w:p>
        </w:tc>
        <w:tc>
          <w:tcPr>
            <w:tcW w:w="1088" w:type="dxa"/>
            <w:shd w:val="clear" w:color="auto" w:fill="auto"/>
            <w:vAlign w:val="center"/>
          </w:tcPr>
          <w:p>
            <w:pPr>
              <w:adjustRightInd w:val="0"/>
              <w:snapToGrid w:val="0"/>
              <w:jc w:val="center"/>
              <w:rPr>
                <w:rFonts w:ascii="宋体" w:hAnsi="宋体"/>
                <w:color w:val="FF0000"/>
                <w:spacing w:val="-4"/>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608" w:hRule="atLeast"/>
          <w:jc w:val="center"/>
        </w:trPr>
        <w:tc>
          <w:tcPr>
            <w:tcW w:w="8710" w:type="dxa"/>
            <w:gridSpan w:val="5"/>
            <w:vAlign w:val="center"/>
          </w:tcPr>
          <w:p>
            <w:pPr>
              <w:adjustRightInd w:val="0"/>
              <w:snapToGrid w:val="0"/>
              <w:rPr>
                <w:rFonts w:ascii="宋体" w:hAnsi="宋体"/>
                <w:spacing w:val="-4"/>
                <w:kern w:val="0"/>
                <w:sz w:val="28"/>
                <w:szCs w:val="28"/>
              </w:rPr>
            </w:pPr>
            <w:r>
              <w:rPr>
                <w:rFonts w:hint="eastAsia" w:ascii="宋体" w:hAnsi="宋体"/>
                <w:spacing w:val="-4"/>
                <w:kern w:val="0"/>
                <w:sz w:val="24"/>
              </w:rPr>
              <w:t>说明：1．团体采购按照以上标准计算达不到2500元的节点企业，按照每年报送完整信息的天数达到231天以上的给予2500元奖励；180—230天的，给予2000元奖励；</w:t>
            </w:r>
            <w:r>
              <w:rPr>
                <w:rFonts w:ascii="宋体" w:hAnsi="宋体"/>
                <w:spacing w:val="-4"/>
                <w:kern w:val="0"/>
                <w:sz w:val="24"/>
              </w:rPr>
              <w:t>不足</w:t>
            </w:r>
            <w:r>
              <w:rPr>
                <w:rFonts w:hint="eastAsia" w:ascii="宋体" w:hAnsi="宋体"/>
                <w:spacing w:val="-4"/>
                <w:kern w:val="0"/>
                <w:sz w:val="24"/>
              </w:rPr>
              <w:t>180天</w:t>
            </w:r>
            <w:r>
              <w:rPr>
                <w:rFonts w:ascii="宋体" w:hAnsi="宋体"/>
                <w:spacing w:val="-4"/>
                <w:kern w:val="0"/>
                <w:sz w:val="24"/>
              </w:rPr>
              <w:t>的不予奖励</w:t>
            </w:r>
            <w:r>
              <w:rPr>
                <w:rFonts w:hint="eastAsia" w:ascii="宋体" w:hAnsi="宋体"/>
                <w:spacing w:val="-4"/>
                <w:kern w:val="0"/>
                <w:sz w:val="24"/>
              </w:rPr>
              <w:t>；连锁企业信息按总部汇总计算，按照以上标准超过15万元的，给予15万元奖励。2．报送信息合格率为60%以上的为达标单位，不达标的节点单位按不超过以上标准的50%给予补贴，按照以上标准计算奖励金额不超过300元的节点单位不予奖励。3．每年根据报送信息的实际情况确定相应的补贴标准，各区县可在以上标准范围内根据实际情况做适当微调。</w:t>
            </w:r>
          </w:p>
        </w:tc>
      </w:tr>
    </w:tbl>
    <w:p/>
    <w:sectPr>
      <w:pgSz w:w="11906" w:h="16838"/>
      <w:pgMar w:top="1701" w:right="1531" w:bottom="175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EA8"/>
    <w:rsid w:val="00383041"/>
    <w:rsid w:val="003A2EA8"/>
    <w:rsid w:val="00402D5B"/>
    <w:rsid w:val="00A626DB"/>
    <w:rsid w:val="59244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91</Words>
  <Characters>525</Characters>
  <Lines>4</Lines>
  <Paragraphs>1</Paragraphs>
  <TotalTime>2</TotalTime>
  <ScaleCrop>false</ScaleCrop>
  <LinksUpToDate>false</LinksUpToDate>
  <CharactersWithSpaces>615</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2019-07-11T01:07:00Z</dcterms:created>
  <dc:creator>AutoBVT</dc:creator>
  <cp:lastModifiedBy>dell</cp:lastModifiedBy>
  <dcterms:modified xsi:type="dcterms:W3CDTF">2019-08-02T09:16:56Z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